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惠仲土挂告[2022] </w:t>
      </w:r>
      <w:r>
        <w:rPr>
          <w:rFonts w:hint="eastAsia" w:ascii="仿宋_GB2312" w:hAnsi="仿宋_GB2312" w:eastAsia="仿宋_GB2312" w:cs="仿宋_GB2312"/>
          <w:b w:val="0"/>
          <w:bCs w:val="0"/>
          <w:color w:val="auto"/>
          <w:sz w:val="32"/>
          <w:szCs w:val="32"/>
          <w:highlight w:val="none"/>
          <w:lang w:val="en-US" w:eastAsia="zh-CN"/>
        </w:rPr>
        <w:t>004</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及《关于对ZK2020TJ0149号&lt;规划设计条件告知书&gt;有效性审核情况的说明》</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6、《成交确认书》</w:t>
      </w:r>
      <w:r>
        <w:rPr>
          <w:rFonts w:hint="eastAsia" w:ascii="仿宋_GB2312" w:hAnsi="仿宋_GB2312" w:eastAsia="仿宋_GB2312" w:cs="仿宋_GB2312"/>
          <w:color w:val="auto"/>
          <w:sz w:val="32"/>
          <w:szCs w:val="32"/>
          <w:lang w:val="en-US" w:eastAsia="zh-CN"/>
        </w:rPr>
        <w:t>样</w:t>
      </w:r>
      <w:r>
        <w:rPr>
          <w:rFonts w:hint="eastAsia" w:ascii="仿宋_GB2312" w:hAnsi="仿宋_GB2312" w:eastAsia="仿宋_GB2312" w:cs="仿宋_GB2312"/>
          <w:color w:val="auto"/>
          <w:sz w:val="32"/>
          <w:szCs w:val="32"/>
        </w:rPr>
        <w:t>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8、《仲恺高新区产业项目投资建设监管协议》；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w:t>
      </w:r>
      <w:bookmarkStart w:id="0" w:name="_GoBack"/>
      <w:bookmarkEnd w:id="0"/>
      <w:r>
        <w:rPr>
          <w:rFonts w:hint="eastAsia" w:ascii="仿宋_GB2312" w:hAnsi="仿宋_GB2312" w:eastAsia="仿宋_GB2312" w:cs="仿宋_GB2312"/>
          <w:color w:val="auto"/>
          <w:sz w:val="32"/>
          <w:szCs w:val="32"/>
        </w:rPr>
        <w:t>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5271</Words>
  <Characters>5330</Characters>
  <Lines>0</Lines>
  <Paragraphs>0</Paragraphs>
  <TotalTime>70</TotalTime>
  <ScaleCrop>false</ScaleCrop>
  <LinksUpToDate>false</LinksUpToDate>
  <CharactersWithSpaces>5381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2022-09-19T07:57:24Z</cp:lastPrinted>
  <dcterms:modified xsi:type="dcterms:W3CDTF">2022-09-19T07:57:31Z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42019087B14C434BA198769C48C5CF5B</vt:lpwstr>
  </property>
</Properties>
</file>